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CB" w:rsidRDefault="002E1DDB">
      <w:pPr>
        <w:spacing w:line="577" w:lineRule="exact"/>
        <w:jc w:val="center"/>
        <w:rPr>
          <w:rFonts w:eastAsia="方正小标宋简体"/>
          <w:sz w:val="44"/>
          <w:szCs w:val="44"/>
        </w:rPr>
      </w:pPr>
      <w:bookmarkStart w:id="0" w:name="PO_TEXT"/>
      <w:r>
        <w:rPr>
          <w:rFonts w:eastAsia="方正小标宋简体"/>
          <w:sz w:val="44"/>
          <w:szCs w:val="44"/>
        </w:rPr>
        <w:t xml:space="preserve"> </w:t>
      </w:r>
      <w:r w:rsidR="00A202A7">
        <w:rPr>
          <w:rFonts w:eastAsia="方正小标宋简体"/>
          <w:sz w:val="44"/>
          <w:szCs w:val="44"/>
        </w:rPr>
        <w:t>“</w:t>
      </w:r>
      <w:r w:rsidR="00A202A7">
        <w:rPr>
          <w:rFonts w:eastAsia="方正小标宋简体"/>
          <w:sz w:val="44"/>
          <w:szCs w:val="44"/>
        </w:rPr>
        <w:t>清朗网络空间，共筑禁毒防线</w:t>
      </w:r>
      <w:r w:rsidR="00A202A7">
        <w:rPr>
          <w:rFonts w:eastAsia="方正小标宋简体"/>
          <w:sz w:val="44"/>
          <w:szCs w:val="44"/>
        </w:rPr>
        <w:t>”</w:t>
      </w:r>
    </w:p>
    <w:p w:rsidR="00B375CB" w:rsidRDefault="00A202A7">
      <w:pPr>
        <w:spacing w:line="577" w:lineRule="exact"/>
        <w:jc w:val="center"/>
        <w:rPr>
          <w:rFonts w:eastAsia="方正小标宋简体"/>
          <w:sz w:val="44"/>
          <w:szCs w:val="44"/>
        </w:rPr>
      </w:pPr>
      <w:r>
        <w:rPr>
          <w:rFonts w:eastAsia="方正小标宋简体"/>
          <w:sz w:val="44"/>
          <w:szCs w:val="44"/>
        </w:rPr>
        <w:t>全国化工行业净网倡议</w:t>
      </w:r>
    </w:p>
    <w:p w:rsidR="00B375CB" w:rsidRDefault="00B375CB">
      <w:pPr>
        <w:spacing w:line="577" w:lineRule="exact"/>
        <w:rPr>
          <w:rFonts w:eastAsia="仿宋_GB2312"/>
          <w:sz w:val="32"/>
          <w:szCs w:val="32"/>
        </w:rPr>
      </w:pPr>
    </w:p>
    <w:p w:rsidR="00B375CB" w:rsidRDefault="00A202A7">
      <w:pPr>
        <w:spacing w:line="577" w:lineRule="exact"/>
        <w:ind w:firstLineChars="200" w:firstLine="640"/>
        <w:rPr>
          <w:rFonts w:eastAsia="仿宋_GB2312"/>
          <w:sz w:val="32"/>
          <w:szCs w:val="32"/>
        </w:rPr>
      </w:pPr>
      <w:r>
        <w:rPr>
          <w:rFonts w:eastAsia="仿宋_GB2312"/>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rsidR="00B375CB" w:rsidRDefault="00A202A7">
      <w:pPr>
        <w:spacing w:line="577" w:lineRule="exact"/>
        <w:ind w:firstLineChars="200" w:firstLine="640"/>
        <w:rPr>
          <w:rFonts w:eastAsia="黑体"/>
          <w:sz w:val="32"/>
          <w:szCs w:val="32"/>
        </w:rPr>
      </w:pPr>
      <w:r>
        <w:rPr>
          <w:rFonts w:eastAsia="黑体"/>
          <w:sz w:val="32"/>
          <w:szCs w:val="32"/>
        </w:rPr>
        <w:t>一、胸怀国之大者，筑牢合规思想根基</w:t>
      </w:r>
    </w:p>
    <w:p w:rsidR="00B375CB" w:rsidRDefault="00A202A7">
      <w:pPr>
        <w:spacing w:line="577" w:lineRule="exact"/>
        <w:ind w:firstLineChars="200" w:firstLine="640"/>
        <w:rPr>
          <w:rFonts w:eastAsia="仿宋_GB2312"/>
          <w:sz w:val="32"/>
          <w:szCs w:val="32"/>
        </w:rPr>
      </w:pPr>
      <w:r>
        <w:rPr>
          <w:rFonts w:eastAsia="仿宋_GB2312"/>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rsidR="00B375CB" w:rsidRDefault="00A202A7">
      <w:pPr>
        <w:spacing w:line="577" w:lineRule="exact"/>
        <w:ind w:firstLineChars="200" w:firstLine="640"/>
        <w:rPr>
          <w:rFonts w:eastAsia="黑体"/>
          <w:sz w:val="32"/>
          <w:szCs w:val="32"/>
        </w:rPr>
      </w:pPr>
      <w:r>
        <w:rPr>
          <w:rFonts w:eastAsia="黑体"/>
          <w:sz w:val="32"/>
          <w:szCs w:val="32"/>
        </w:rPr>
        <w:t>二、恪守合规底线，防范信息滥用风险</w:t>
      </w:r>
    </w:p>
    <w:p w:rsidR="00B375CB" w:rsidRDefault="00A202A7">
      <w:pPr>
        <w:spacing w:line="577" w:lineRule="exact"/>
        <w:ind w:firstLineChars="200" w:firstLine="640"/>
        <w:rPr>
          <w:rFonts w:eastAsia="仿宋_GB2312"/>
          <w:sz w:val="32"/>
          <w:szCs w:val="32"/>
        </w:rPr>
      </w:pPr>
      <w:r>
        <w:rPr>
          <w:rFonts w:eastAsia="仿宋_GB2312"/>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rsidR="00B375CB" w:rsidRDefault="00A202A7">
      <w:pPr>
        <w:spacing w:line="577" w:lineRule="exact"/>
        <w:ind w:firstLineChars="200" w:firstLine="640"/>
        <w:rPr>
          <w:rFonts w:eastAsia="黑体"/>
          <w:sz w:val="32"/>
          <w:szCs w:val="32"/>
        </w:rPr>
      </w:pPr>
      <w:r>
        <w:rPr>
          <w:rFonts w:eastAsia="黑体"/>
          <w:sz w:val="32"/>
          <w:szCs w:val="32"/>
        </w:rPr>
        <w:t>三、强化审慎核查，阻断异常交易链条</w:t>
      </w:r>
    </w:p>
    <w:p w:rsidR="00B375CB" w:rsidRDefault="00A202A7">
      <w:pPr>
        <w:spacing w:line="577" w:lineRule="exact"/>
        <w:ind w:firstLineChars="200" w:firstLine="640"/>
        <w:rPr>
          <w:rFonts w:eastAsia="仿宋_GB2312"/>
          <w:sz w:val="32"/>
          <w:szCs w:val="32"/>
        </w:rPr>
      </w:pPr>
      <w:r>
        <w:rPr>
          <w:rFonts w:eastAsia="仿宋_GB2312"/>
          <w:sz w:val="32"/>
          <w:szCs w:val="32"/>
        </w:rPr>
        <w:lastRenderedPageBreak/>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rsidR="00B375CB" w:rsidRDefault="00A202A7">
      <w:pPr>
        <w:spacing w:line="577" w:lineRule="exact"/>
        <w:ind w:firstLineChars="200" w:firstLine="640"/>
        <w:rPr>
          <w:rFonts w:eastAsia="黑体"/>
          <w:sz w:val="32"/>
          <w:szCs w:val="32"/>
        </w:rPr>
      </w:pPr>
      <w:r>
        <w:rPr>
          <w:rFonts w:eastAsia="黑体"/>
          <w:sz w:val="32"/>
          <w:szCs w:val="32"/>
        </w:rPr>
        <w:t>四、汇聚行业合力，构建协同共治格局</w:t>
      </w:r>
    </w:p>
    <w:p w:rsidR="00B375CB" w:rsidRDefault="00A202A7">
      <w:pPr>
        <w:spacing w:line="577" w:lineRule="exact"/>
        <w:ind w:firstLineChars="200" w:firstLine="640"/>
        <w:rPr>
          <w:rFonts w:eastAsia="仿宋_GB2312"/>
          <w:sz w:val="32"/>
          <w:szCs w:val="32"/>
        </w:rPr>
      </w:pPr>
      <w:r>
        <w:rPr>
          <w:rFonts w:eastAsia="仿宋_GB2312"/>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rsidR="00B375CB" w:rsidRDefault="00A202A7">
      <w:pPr>
        <w:spacing w:line="577" w:lineRule="exact"/>
        <w:ind w:firstLineChars="200" w:firstLine="640"/>
        <w:rPr>
          <w:rFonts w:eastAsia="黑体"/>
          <w:sz w:val="32"/>
          <w:szCs w:val="32"/>
        </w:rPr>
      </w:pPr>
      <w:r>
        <w:rPr>
          <w:rFonts w:eastAsia="黑体"/>
          <w:sz w:val="32"/>
          <w:szCs w:val="32"/>
        </w:rPr>
        <w:t>五、立足全球视野，贡献行业治理智慧</w:t>
      </w:r>
    </w:p>
    <w:p w:rsidR="00B375CB" w:rsidRDefault="00A202A7">
      <w:pPr>
        <w:spacing w:line="577" w:lineRule="exact"/>
        <w:ind w:firstLineChars="200" w:firstLine="640"/>
        <w:rPr>
          <w:rFonts w:eastAsia="仿宋_GB2312"/>
          <w:sz w:val="32"/>
          <w:szCs w:val="32"/>
        </w:rPr>
      </w:pPr>
      <w:r>
        <w:rPr>
          <w:rFonts w:eastAsia="仿宋_GB2312"/>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rsidR="00B375CB" w:rsidRDefault="00A202A7">
      <w:pPr>
        <w:spacing w:line="577" w:lineRule="exact"/>
        <w:ind w:firstLineChars="200" w:firstLine="640"/>
        <w:rPr>
          <w:rFonts w:eastAsia="仿宋_GB2312"/>
          <w:sz w:val="32"/>
          <w:szCs w:val="32"/>
        </w:rPr>
      </w:pPr>
      <w:r>
        <w:rPr>
          <w:rFonts w:eastAsia="仿宋_GB2312"/>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w:t>
      </w:r>
      <w:r>
        <w:rPr>
          <w:rFonts w:eastAsia="仿宋_GB2312"/>
          <w:sz w:val="32"/>
          <w:szCs w:val="32"/>
        </w:rPr>
        <w:lastRenderedPageBreak/>
        <w:t>大局作出新的更大贡献！</w:t>
      </w:r>
    </w:p>
    <w:p w:rsidR="00B375CB" w:rsidRDefault="00B375CB">
      <w:pPr>
        <w:spacing w:line="577" w:lineRule="exact"/>
        <w:ind w:firstLineChars="200" w:firstLine="640"/>
        <w:rPr>
          <w:rFonts w:eastAsia="仿宋_GB2312"/>
          <w:sz w:val="32"/>
          <w:szCs w:val="32"/>
        </w:rPr>
      </w:pPr>
    </w:p>
    <w:p w:rsidR="00B375CB" w:rsidRDefault="00B375CB">
      <w:pPr>
        <w:spacing w:line="577" w:lineRule="exact"/>
        <w:ind w:firstLineChars="200" w:firstLine="640"/>
        <w:rPr>
          <w:rFonts w:eastAsia="仿宋_GB2312"/>
          <w:sz w:val="32"/>
          <w:szCs w:val="32"/>
        </w:rPr>
      </w:pPr>
    </w:p>
    <w:p w:rsidR="00B375CB" w:rsidRDefault="00A202A7" w:rsidP="00A04521">
      <w:pPr>
        <w:spacing w:line="577" w:lineRule="exact"/>
        <w:ind w:firstLineChars="1400" w:firstLine="4480"/>
        <w:rPr>
          <w:rFonts w:eastAsia="仿宋_GB2312"/>
          <w:sz w:val="32"/>
          <w:szCs w:val="32"/>
        </w:rPr>
      </w:pPr>
      <w:r>
        <w:rPr>
          <w:rFonts w:eastAsia="仿宋_GB2312"/>
          <w:sz w:val="32"/>
          <w:szCs w:val="32"/>
        </w:rPr>
        <w:t>中国石油和化学工业联合会</w:t>
      </w:r>
    </w:p>
    <w:p w:rsidR="00B375CB" w:rsidRDefault="00A202A7" w:rsidP="00A04521">
      <w:pPr>
        <w:spacing w:line="577" w:lineRule="exact"/>
        <w:ind w:firstLineChars="1594" w:firstLine="5101"/>
        <w:rPr>
          <w:rFonts w:eastAsia="仿宋_GB2312"/>
          <w:sz w:val="32"/>
          <w:szCs w:val="32"/>
        </w:rPr>
      </w:pPr>
      <w:r>
        <w:rPr>
          <w:rFonts w:eastAsia="仿宋_GB2312"/>
          <w:sz w:val="32"/>
          <w:szCs w:val="32"/>
        </w:rPr>
        <w:t>2025</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30</w:t>
      </w:r>
      <w:r>
        <w:rPr>
          <w:rFonts w:eastAsia="仿宋_GB2312"/>
          <w:sz w:val="32"/>
          <w:szCs w:val="32"/>
        </w:rPr>
        <w:t>日</w:t>
      </w:r>
    </w:p>
    <w:bookmarkEnd w:id="0"/>
    <w:p w:rsidR="00B375CB" w:rsidRDefault="00B375CB">
      <w:pPr>
        <w:ind w:left="957" w:hangingChars="299" w:hanging="957"/>
        <w:rPr>
          <w:rFonts w:ascii="仿宋_GB2312" w:eastAsia="仿宋_GB2312"/>
          <w:sz w:val="32"/>
          <w:szCs w:val="32"/>
        </w:rPr>
      </w:pPr>
    </w:p>
    <w:p w:rsidR="00B375CB" w:rsidRDefault="00B375CB"/>
    <w:sectPr w:rsidR="00B375CB" w:rsidSect="00B375CB">
      <w:pgSz w:w="11906" w:h="16838"/>
      <w:pgMar w:top="2041" w:right="1531" w:bottom="2041" w:left="1531" w:header="851" w:footer="992" w:gutter="0"/>
      <w:cols w:space="720"/>
      <w:docGrid w:type="lines" w:linePitch="289" w:charSpace="34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8E2" w:rsidRDefault="006278E2" w:rsidP="00A04521">
      <w:r>
        <w:separator/>
      </w:r>
    </w:p>
  </w:endnote>
  <w:endnote w:type="continuationSeparator" w:id="0">
    <w:p w:rsidR="006278E2" w:rsidRDefault="006278E2" w:rsidP="00A045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8E2" w:rsidRDefault="006278E2" w:rsidP="00A04521">
      <w:r>
        <w:separator/>
      </w:r>
    </w:p>
  </w:footnote>
  <w:footnote w:type="continuationSeparator" w:id="0">
    <w:p w:rsidR="006278E2" w:rsidRDefault="006278E2" w:rsidP="00A045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B70CDB"/>
    <w:multiLevelType w:val="singleLevel"/>
    <w:tmpl w:val="BFB70CDB"/>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27"/>
  <w:drawingGridVerticalSpacing w:val="289"/>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F712FC"/>
    <w:rsid w:val="003C0F35"/>
    <w:rsid w:val="7AF712FC"/>
    <w:rsid w:val="AFF76018"/>
    <w:rsid w:val="BDE60D7A"/>
    <w:rsid w:val="BFFFC1B5"/>
    <w:rsid w:val="CFB62C6D"/>
    <w:rsid w:val="F16B480B"/>
    <w:rsid w:val="FBDE2776"/>
    <w:rsid w:val="FDA79017"/>
    <w:rsid w:val="FEFFD222"/>
    <w:rsid w:val="FF4767B2"/>
    <w:rsid w:val="FFFEB990"/>
    <w:rsid w:val="000606F2"/>
    <w:rsid w:val="000621F8"/>
    <w:rsid w:val="000A4BC2"/>
    <w:rsid w:val="000E4860"/>
    <w:rsid w:val="00105EFD"/>
    <w:rsid w:val="001145AF"/>
    <w:rsid w:val="001204FA"/>
    <w:rsid w:val="0013077E"/>
    <w:rsid w:val="001511EB"/>
    <w:rsid w:val="00177D8C"/>
    <w:rsid w:val="001A211A"/>
    <w:rsid w:val="001C41C3"/>
    <w:rsid w:val="001C5A5F"/>
    <w:rsid w:val="001D51C2"/>
    <w:rsid w:val="002150DB"/>
    <w:rsid w:val="002735F6"/>
    <w:rsid w:val="00287681"/>
    <w:rsid w:val="002C1505"/>
    <w:rsid w:val="002C1C82"/>
    <w:rsid w:val="002E1DDB"/>
    <w:rsid w:val="002F2CC3"/>
    <w:rsid w:val="0033778A"/>
    <w:rsid w:val="00380786"/>
    <w:rsid w:val="003A3DB5"/>
    <w:rsid w:val="003E3DCF"/>
    <w:rsid w:val="003F6FC3"/>
    <w:rsid w:val="00402530"/>
    <w:rsid w:val="004231D2"/>
    <w:rsid w:val="00457B46"/>
    <w:rsid w:val="004C686A"/>
    <w:rsid w:val="004E7C83"/>
    <w:rsid w:val="00550088"/>
    <w:rsid w:val="005575FE"/>
    <w:rsid w:val="005627DE"/>
    <w:rsid w:val="00562E2E"/>
    <w:rsid w:val="00565CD1"/>
    <w:rsid w:val="005711F1"/>
    <w:rsid w:val="005749D5"/>
    <w:rsid w:val="005D32D9"/>
    <w:rsid w:val="006278E2"/>
    <w:rsid w:val="006379D3"/>
    <w:rsid w:val="006430EB"/>
    <w:rsid w:val="00644AA6"/>
    <w:rsid w:val="00697A2D"/>
    <w:rsid w:val="006D64EE"/>
    <w:rsid w:val="006D67ED"/>
    <w:rsid w:val="00715813"/>
    <w:rsid w:val="00742310"/>
    <w:rsid w:val="00752512"/>
    <w:rsid w:val="0079140D"/>
    <w:rsid w:val="007C1E7F"/>
    <w:rsid w:val="007E29CD"/>
    <w:rsid w:val="007E35AE"/>
    <w:rsid w:val="00825DF7"/>
    <w:rsid w:val="008A105B"/>
    <w:rsid w:val="008B539C"/>
    <w:rsid w:val="00914CB6"/>
    <w:rsid w:val="00921181"/>
    <w:rsid w:val="00927651"/>
    <w:rsid w:val="00945C9A"/>
    <w:rsid w:val="009574B1"/>
    <w:rsid w:val="0097034C"/>
    <w:rsid w:val="00970790"/>
    <w:rsid w:val="00972D44"/>
    <w:rsid w:val="00982FE3"/>
    <w:rsid w:val="009A5145"/>
    <w:rsid w:val="009B5C02"/>
    <w:rsid w:val="009F3C9C"/>
    <w:rsid w:val="00A04521"/>
    <w:rsid w:val="00A13782"/>
    <w:rsid w:val="00A202A7"/>
    <w:rsid w:val="00A262E7"/>
    <w:rsid w:val="00A44321"/>
    <w:rsid w:val="00A71DC1"/>
    <w:rsid w:val="00A72B38"/>
    <w:rsid w:val="00A77DD0"/>
    <w:rsid w:val="00AA18B1"/>
    <w:rsid w:val="00AB32CE"/>
    <w:rsid w:val="00AB495A"/>
    <w:rsid w:val="00AC679E"/>
    <w:rsid w:val="00AF3CDF"/>
    <w:rsid w:val="00AF4C0A"/>
    <w:rsid w:val="00B056CA"/>
    <w:rsid w:val="00B375CB"/>
    <w:rsid w:val="00B51CBC"/>
    <w:rsid w:val="00B90EF2"/>
    <w:rsid w:val="00C04A54"/>
    <w:rsid w:val="00C13B52"/>
    <w:rsid w:val="00C2595A"/>
    <w:rsid w:val="00C3420D"/>
    <w:rsid w:val="00C47B56"/>
    <w:rsid w:val="00C51E6C"/>
    <w:rsid w:val="00C52D57"/>
    <w:rsid w:val="00C85220"/>
    <w:rsid w:val="00CA20F9"/>
    <w:rsid w:val="00CA4871"/>
    <w:rsid w:val="00CC0CEF"/>
    <w:rsid w:val="00D2396D"/>
    <w:rsid w:val="00D62ADE"/>
    <w:rsid w:val="00D85DCB"/>
    <w:rsid w:val="00D876C3"/>
    <w:rsid w:val="00D926EC"/>
    <w:rsid w:val="00DD4E86"/>
    <w:rsid w:val="00DE74A4"/>
    <w:rsid w:val="00DF2C6F"/>
    <w:rsid w:val="00DF4566"/>
    <w:rsid w:val="00E14A9F"/>
    <w:rsid w:val="00E17C03"/>
    <w:rsid w:val="00E7662A"/>
    <w:rsid w:val="00E80243"/>
    <w:rsid w:val="00E85803"/>
    <w:rsid w:val="00E965B0"/>
    <w:rsid w:val="00EE7FDA"/>
    <w:rsid w:val="00EF65FC"/>
    <w:rsid w:val="00EF7175"/>
    <w:rsid w:val="00F07A04"/>
    <w:rsid w:val="00F3112F"/>
    <w:rsid w:val="00FB7254"/>
    <w:rsid w:val="00FE0FC1"/>
    <w:rsid w:val="00FE6749"/>
    <w:rsid w:val="06D16B2B"/>
    <w:rsid w:val="184F59F3"/>
    <w:rsid w:val="18F5BD4D"/>
    <w:rsid w:val="1F5718E2"/>
    <w:rsid w:val="32FF6962"/>
    <w:rsid w:val="37D76590"/>
    <w:rsid w:val="4F194A95"/>
    <w:rsid w:val="53FF6D7F"/>
    <w:rsid w:val="5B7F89C5"/>
    <w:rsid w:val="5FF73C74"/>
    <w:rsid w:val="6F3F80C2"/>
    <w:rsid w:val="6FF960D7"/>
    <w:rsid w:val="73FB8182"/>
    <w:rsid w:val="76DD5FE3"/>
    <w:rsid w:val="79ED84F6"/>
    <w:rsid w:val="7AF712FC"/>
    <w:rsid w:val="7FEE9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C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375CB"/>
    <w:rPr>
      <w:szCs w:val="24"/>
    </w:rPr>
  </w:style>
  <w:style w:type="paragraph" w:styleId="a4">
    <w:name w:val="Balloon Text"/>
    <w:basedOn w:val="a"/>
    <w:link w:val="Char"/>
    <w:uiPriority w:val="99"/>
    <w:semiHidden/>
    <w:unhideWhenUsed/>
    <w:qFormat/>
    <w:rsid w:val="00B375CB"/>
    <w:rPr>
      <w:sz w:val="18"/>
      <w:szCs w:val="18"/>
    </w:rPr>
  </w:style>
  <w:style w:type="paragraph" w:styleId="a5">
    <w:name w:val="footer"/>
    <w:basedOn w:val="a"/>
    <w:link w:val="Char0"/>
    <w:uiPriority w:val="99"/>
    <w:unhideWhenUsed/>
    <w:rsid w:val="00B375CB"/>
    <w:pPr>
      <w:tabs>
        <w:tab w:val="center" w:pos="4153"/>
        <w:tab w:val="right" w:pos="8306"/>
      </w:tabs>
      <w:snapToGrid w:val="0"/>
      <w:jc w:val="left"/>
    </w:pPr>
    <w:rPr>
      <w:sz w:val="18"/>
      <w:szCs w:val="18"/>
    </w:rPr>
  </w:style>
  <w:style w:type="paragraph" w:styleId="a6">
    <w:name w:val="header"/>
    <w:basedOn w:val="a"/>
    <w:link w:val="Char1"/>
    <w:uiPriority w:val="99"/>
    <w:unhideWhenUsed/>
    <w:rsid w:val="00B375C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375CB"/>
    <w:rPr>
      <w:sz w:val="24"/>
      <w:szCs w:val="24"/>
    </w:rPr>
  </w:style>
  <w:style w:type="character" w:styleId="a8">
    <w:name w:val="Strong"/>
    <w:qFormat/>
    <w:rsid w:val="00B375CB"/>
    <w:rPr>
      <w:rFonts w:ascii="Times New Roman" w:eastAsia="宋体" w:hAnsi="Times New Roman" w:cs="Times New Roman"/>
      <w:b/>
    </w:rPr>
  </w:style>
  <w:style w:type="character" w:styleId="a9">
    <w:name w:val="Hyperlink"/>
    <w:rsid w:val="00B375CB"/>
    <w:rPr>
      <w:rFonts w:ascii="Times New Roman" w:eastAsia="宋体" w:hAnsi="Times New Roman" w:cs="Times New Roman"/>
      <w:color w:val="0000FF"/>
      <w:u w:val="single"/>
    </w:rPr>
  </w:style>
  <w:style w:type="character" w:customStyle="1" w:styleId="Char1">
    <w:name w:val="页眉 Char"/>
    <w:basedOn w:val="a0"/>
    <w:link w:val="a6"/>
    <w:uiPriority w:val="99"/>
    <w:rsid w:val="00B375CB"/>
    <w:rPr>
      <w:rFonts w:ascii="Times New Roman" w:eastAsia="宋体" w:hAnsi="Times New Roman" w:cs="Times New Roman"/>
      <w:sz w:val="18"/>
      <w:szCs w:val="18"/>
    </w:rPr>
  </w:style>
  <w:style w:type="character" w:customStyle="1" w:styleId="Char0">
    <w:name w:val="页脚 Char"/>
    <w:basedOn w:val="a0"/>
    <w:link w:val="a5"/>
    <w:uiPriority w:val="99"/>
    <w:qFormat/>
    <w:rsid w:val="00B375CB"/>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B375C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E8FB5-D55F-4D40-B86D-AA467142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932</Characters>
  <Application>Microsoft Office Word</Application>
  <DocSecurity>0</DocSecurity>
  <Lines>7</Lines>
  <Paragraphs>2</Paragraphs>
  <ScaleCrop>false</ScaleCrop>
  <Company>Microsoft</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xiaomeng</dc:creator>
  <cp:lastModifiedBy>Administrator</cp:lastModifiedBy>
  <cp:revision>2</cp:revision>
  <dcterms:created xsi:type="dcterms:W3CDTF">2026-03-30T06:08:00Z</dcterms:created>
  <dcterms:modified xsi:type="dcterms:W3CDTF">2026-03-30T06:08:00Z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